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A95C2C" w:rsidP="002D5F70">
      <w:pPr>
        <w:spacing w:after="0" w:line="240" w:lineRule="auto"/>
      </w:pPr>
      <w:r>
        <w:t>Занятие 09</w:t>
      </w:r>
      <w:r w:rsidR="00B22E1A" w:rsidRPr="002D5F70">
        <w:t>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232B82">
        <w:t>Приемы и правила композиции, тематическое рисование.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32B82">
        <w:rPr>
          <w:rFonts w:eastAsia="Times New Roman"/>
          <w:lang w:eastAsia="ru-RU"/>
        </w:rPr>
        <w:t>построении композиции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Простой карандаш и ластик</w:t>
      </w:r>
    </w:p>
    <w:p w:rsidR="002D5F70" w:rsidRDefault="008C12F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232B82" w:rsidRPr="002D5F70" w:rsidRDefault="00232B82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Кисть «</w:t>
      </w:r>
      <w:r w:rsidR="008C12F7">
        <w:t>нейлон</w:t>
      </w:r>
      <w:r>
        <w:t xml:space="preserve"> №3»</w:t>
      </w:r>
      <w:r w:rsidR="008C12F7">
        <w:t xml:space="preserve"> (круглая либо плоская)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2.</w:t>
      </w:r>
      <w:r w:rsidR="00AD27BC">
        <w:rPr>
          <w:b/>
        </w:rPr>
        <w:t>Композиция</w:t>
      </w:r>
    </w:p>
    <w:p w:rsidR="00A95C2C" w:rsidRPr="00A95C2C" w:rsidRDefault="00A95C2C" w:rsidP="00A95C2C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95C2C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Композиционный центр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- это объект, к которому, по задумке художника, должен стремиться глаз зрителя - центральный элемент рисунка. Художнику очень важно уметь определить композиционный центр и сделать на нем акцент в своей работе. Есть и исключения. Например, паттерны (простые повторяющиеся формы, цвета или объекты), специфические иллюстрации, поддержанные определенной концепцией, могут не содержать композиционного центра.</w:t>
      </w:r>
    </w:p>
    <w:p w:rsidR="00A95C2C" w:rsidRDefault="00A95C2C" w:rsidP="00A95C2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noProof/>
          <w:color w:val="00AFD1"/>
          <w:sz w:val="20"/>
          <w:szCs w:val="20"/>
          <w:bdr w:val="none" w:sz="0" w:space="0" w:color="auto" w:frame="1"/>
          <w:lang w:eastAsia="ru-RU"/>
        </w:rPr>
      </w:pPr>
    </w:p>
    <w:p w:rsidR="00A95C2C" w:rsidRPr="00A95C2C" w:rsidRDefault="00A95C2C" w:rsidP="00A95C2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95C2C">
        <w:rPr>
          <w:rFonts w:ascii="Arial" w:eastAsia="Times New Roman" w:hAnsi="Arial" w:cs="Arial"/>
          <w:noProof/>
          <w:color w:val="00AFD1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4855075" cy="3184153"/>
            <wp:effectExtent l="0" t="0" r="3175" b="0"/>
            <wp:docPr id="4" name="Рисунок 4" descr="Композиция в рисунке или секреты удачной картины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мпозиция в рисунке или секреты удачной картины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9" t="11796" r="9913" b="8789"/>
                    <a:stretch/>
                  </pic:blipFill>
                  <pic:spPr bwMode="auto">
                    <a:xfrm>
                      <a:off x="0" y="0"/>
                      <a:ext cx="4857458" cy="31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C2C" w:rsidRPr="00A95C2C" w:rsidRDefault="00A95C2C" w:rsidP="00A95C2C">
      <w:pPr>
        <w:shd w:val="clear" w:color="auto" w:fill="FFFFFF"/>
        <w:spacing w:line="480" w:lineRule="atLeast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A95C2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Выделение композиционного центра в рисунке</w:t>
      </w:r>
    </w:p>
    <w:p w:rsidR="00A95C2C" w:rsidRDefault="00A95C2C" w:rsidP="00A95C2C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Один из приемов, который поможет правильно строить композицию – это контраст.</w:t>
      </w:r>
    </w:p>
    <w:p w:rsidR="00A95C2C" w:rsidRPr="00A95C2C" w:rsidRDefault="00A95C2C" w:rsidP="00A95C2C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Контраст - это яркая разница между светлым и темным. 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еобходимо противопоставить композиционный центр тональности остальной композиции. То есть сделать так, чтобы задуманный вами компо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зиционный центр был явно темнее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или явно светлее остальных элементов на картине. Если сравнить два рисунка ниже, то вне зависимости от расположения ракеты, композиционный центр я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вно считывается – это 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достигается за счет контраста с основным фоном.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При использовании этого приема нужно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учитывать не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которые 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моменты: темные заливки</w:t>
      </w:r>
      <w:r w:rsidRPr="00A95C2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визуально уменьшают предмет, а светлые, наоборот - увеличивают. </w:t>
      </w:r>
    </w:p>
    <w:p w:rsidR="00A95C2C" w:rsidRDefault="00A95C2C" w:rsidP="00A95C2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noProof/>
          <w:color w:val="444444"/>
          <w:sz w:val="20"/>
          <w:szCs w:val="20"/>
          <w:bdr w:val="none" w:sz="0" w:space="0" w:color="auto" w:frame="1"/>
          <w:lang w:eastAsia="ru-RU"/>
        </w:rPr>
      </w:pPr>
    </w:p>
    <w:p w:rsidR="00A95C2C" w:rsidRDefault="00A95C2C" w:rsidP="00A95C2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noProof/>
          <w:color w:val="444444"/>
          <w:sz w:val="20"/>
          <w:szCs w:val="20"/>
          <w:bdr w:val="none" w:sz="0" w:space="0" w:color="auto" w:frame="1"/>
          <w:lang w:eastAsia="ru-RU"/>
        </w:rPr>
      </w:pPr>
    </w:p>
    <w:p w:rsidR="00A95C2C" w:rsidRPr="00A95C2C" w:rsidRDefault="00A95C2C" w:rsidP="00A95C2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95C2C">
        <w:rPr>
          <w:rFonts w:ascii="Arial" w:eastAsia="Times New Roman" w:hAnsi="Arial" w:cs="Arial"/>
          <w:noProof/>
          <w:color w:val="44444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485456" cy="3593509"/>
            <wp:effectExtent l="0" t="0" r="1270" b="6985"/>
            <wp:docPr id="3" name="Рисунок 3" descr="Композиция в рисунке или секреты удачной картины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омпозиция в рисунке или секреты удачной картины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" t="4334" r="4489" b="13342"/>
                    <a:stretch/>
                  </pic:blipFill>
                  <pic:spPr bwMode="auto">
                    <a:xfrm>
                      <a:off x="0" y="0"/>
                      <a:ext cx="5491860" cy="359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C2C" w:rsidRDefault="00A95C2C" w:rsidP="002D5F70">
      <w:pPr>
        <w:spacing w:after="0" w:line="240" w:lineRule="auto"/>
        <w:jc w:val="both"/>
        <w:rPr>
          <w:b/>
        </w:rPr>
      </w:pPr>
    </w:p>
    <w:p w:rsidR="00D41B85" w:rsidRDefault="00D41B85" w:rsidP="002D5F70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2D5F70" w:rsidRPr="002D5F70">
        <w:rPr>
          <w:b/>
        </w:rPr>
        <w:t>.Порядок работы</w:t>
      </w:r>
    </w:p>
    <w:p w:rsidR="008C12F7" w:rsidRDefault="008C12F7" w:rsidP="002D5F70">
      <w:pPr>
        <w:spacing w:after="0" w:line="240" w:lineRule="auto"/>
        <w:jc w:val="both"/>
      </w:pPr>
      <w:r>
        <w:tab/>
        <w:t>Расположить горизонтально лист бумаги. В центре листа нарисовать круг. Немного выше середины круга провести горизонтальную линию.</w:t>
      </w:r>
    </w:p>
    <w:p w:rsidR="008C12F7" w:rsidRPr="008C12F7" w:rsidRDefault="008C12F7" w:rsidP="002D5F70">
      <w:pPr>
        <w:spacing w:after="0" w:line="240" w:lineRule="auto"/>
        <w:jc w:val="both"/>
      </w:pPr>
      <w:r>
        <w:tab/>
        <w:t>Раскрасить как показано на рисунке, работать от светлого к темному.</w:t>
      </w:r>
      <w:bookmarkStart w:id="0" w:name="_GoBack"/>
      <w:bookmarkEnd w:id="0"/>
    </w:p>
    <w:p w:rsidR="00AD27BC" w:rsidRPr="00D41B85" w:rsidRDefault="00AD27BC" w:rsidP="00A95C2C">
      <w:pPr>
        <w:shd w:val="clear" w:color="auto" w:fill="FFFFFF"/>
        <w:spacing w:after="0" w:line="240" w:lineRule="auto"/>
        <w:jc w:val="both"/>
      </w:pPr>
      <w:r>
        <w:rPr>
          <w:rFonts w:eastAsia="Times New Roman"/>
          <w:lang w:eastAsia="ru-RU"/>
        </w:rPr>
        <w:tab/>
      </w:r>
      <w:r w:rsidR="008C12F7">
        <w:rPr>
          <w:rFonts w:eastAsia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73pt">
            <v:imagedata r:id="rId9" o:title="img10" croptop="25739f" cropbottom="7434f" cropleft="33441f" cropright="2867f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p w:rsidR="00B22E1A" w:rsidRDefault="00B22E1A" w:rsidP="002D5F70">
      <w:pPr>
        <w:spacing w:after="0" w:line="240" w:lineRule="auto"/>
      </w:pPr>
    </w:p>
    <w:p w:rsidR="00107434" w:rsidRPr="002D5F70" w:rsidRDefault="00107434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sectPr w:rsidR="00B22E1A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odleandsketch.com/proart_folder/98/2b33fe0f20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oodleandsketch.com/proart_folder/98/10f19b9b09bb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2021-10-06T07:40:00Z</dcterms:created>
  <dcterms:modified xsi:type="dcterms:W3CDTF">2021-10-06T07:53:00Z</dcterms:modified>
</cp:coreProperties>
</file>